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CB" w:rsidRDefault="006902CB" w:rsidP="006902CB">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6902CB" w:rsidRDefault="006902CB" w:rsidP="006902CB">
      <w:pPr>
        <w:spacing w:line="240" w:lineRule="auto"/>
        <w:rPr>
          <w:rFonts w:ascii="Times New Roman" w:hAnsi="Times New Roman" w:cs="Times New Roman"/>
          <w:sz w:val="24"/>
          <w:szCs w:val="24"/>
        </w:rPr>
      </w:pPr>
      <w:r>
        <w:rPr>
          <w:rFonts w:ascii="Arial" w:hAnsi="Arial" w:cs="Arial"/>
          <w:color w:val="000000"/>
          <w:sz w:val="23"/>
          <w:szCs w:val="23"/>
        </w:rPr>
        <w:br/>
      </w: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 xml:space="preserve">26 ноября 2020 года Люберецкий городской суд Московской области в составе председательствующего судьи </w:t>
      </w:r>
      <w:proofErr w:type="spellStart"/>
      <w:r>
        <w:rPr>
          <w:rFonts w:ascii="Arial" w:hAnsi="Arial" w:cs="Arial"/>
          <w:color w:val="000000"/>
          <w:sz w:val="23"/>
          <w:szCs w:val="23"/>
          <w:shd w:val="clear" w:color="auto" w:fill="FFFFFF"/>
        </w:rPr>
        <w:t>Лобойко</w:t>
      </w:r>
      <w:proofErr w:type="spellEnd"/>
      <w:r>
        <w:rPr>
          <w:rFonts w:ascii="Arial" w:hAnsi="Arial" w:cs="Arial"/>
          <w:color w:val="000000"/>
          <w:sz w:val="23"/>
          <w:szCs w:val="23"/>
          <w:shd w:val="clear" w:color="auto" w:fill="FFFFFF"/>
        </w:rPr>
        <w:t xml:space="preserve"> И.Э., при секретаре </w:t>
      </w:r>
      <w:proofErr w:type="spellStart"/>
      <w:r>
        <w:rPr>
          <w:rFonts w:ascii="Arial" w:hAnsi="Arial" w:cs="Arial"/>
          <w:color w:val="000000"/>
          <w:sz w:val="23"/>
          <w:szCs w:val="23"/>
          <w:shd w:val="clear" w:color="auto" w:fill="FFFFFF"/>
        </w:rPr>
        <w:t>Комиссаровой</w:t>
      </w:r>
      <w:proofErr w:type="spellEnd"/>
      <w:r>
        <w:rPr>
          <w:rFonts w:ascii="Arial" w:hAnsi="Arial" w:cs="Arial"/>
          <w:color w:val="000000"/>
          <w:sz w:val="23"/>
          <w:szCs w:val="23"/>
          <w:shd w:val="clear" w:color="auto" w:fill="FFFFFF"/>
        </w:rPr>
        <w:t xml:space="preserve"> Н.В., 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В. Н.,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Н. </w:t>
      </w:r>
      <w:proofErr w:type="spellStart"/>
      <w:r>
        <w:rPr>
          <w:rFonts w:ascii="Arial" w:hAnsi="Arial" w:cs="Arial"/>
          <w:color w:val="000000"/>
          <w:sz w:val="23"/>
          <w:szCs w:val="23"/>
          <w:shd w:val="clear" w:color="auto" w:fill="FFFFFF"/>
        </w:rPr>
        <w:t>Н.ча</w:t>
      </w:r>
      <w:proofErr w:type="spellEnd"/>
      <w:r>
        <w:rPr>
          <w:rFonts w:ascii="Arial" w:hAnsi="Arial" w:cs="Arial"/>
          <w:color w:val="000000"/>
          <w:sz w:val="23"/>
          <w:szCs w:val="23"/>
          <w:shd w:val="clear" w:color="auto" w:fill="FFFFFF"/>
        </w:rPr>
        <w:t xml:space="preserve"> к ООО Специализированный застройщик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о взыскании неустойки за просрочку исполнения обязательств по договору, компенсации морального вреда, штрафа и судебных расходов,</w:t>
      </w:r>
      <w:r>
        <w:rPr>
          <w:rFonts w:ascii="Arial" w:hAnsi="Arial" w:cs="Arial"/>
          <w:color w:val="000000"/>
          <w:sz w:val="23"/>
          <w:szCs w:val="23"/>
        </w:rPr>
        <w:br/>
      </w:r>
      <w:proofErr w:type="gramEnd"/>
    </w:p>
    <w:p w:rsidR="006902CB" w:rsidRDefault="006902CB" w:rsidP="006902CB">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
    <w:p w:rsidR="006902CB" w:rsidRDefault="006902CB" w:rsidP="006902CB">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Истцы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В.Н.,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Н.Н. обратились в суд с вышеуказанным иском о взыскании с ООО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неустойки за нарушение сроков передачи объекта долевого строительства по Договору участия в долевом строительстве в размере 167 642,48 руб. за период с №., компенсации морального вреда в размере 50 000 руб., штрафа, судебных расходов.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Истцы в судебное заседание не явились, извещались о времени и месте судебного заседания.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(Цыганкова Н.М.) в судебное заседание не явилась, просила рассмотреть дело в её отсутствие. Представила письменный отзыв, в котором период просрочки, заявленный истцами, не оспаривала, при этом указала, что расчет является неверным, т.к. неверно применена ключевая ставка Банка России. Указала, что размер неустойки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составит не более 165 878,48 руб. Также считала, что заявленный истцами размер неустойки является необоснованно завышенным и несоразмерным последствиям нарушения обязательств. Просила применить положения статьи </w:t>
      </w:r>
      <w:hyperlink r:id="rId5" w:tgtFrame="_blank" w:tooltip="ГПК РФ &gt;  Раздел III. Производство в суде второй инстанции &gt; Глава 39. Производство в суде апелляционной инстанции &gt; Статья 333. Порядок подачи и рассмотрения частной жалобы, представления прокурора" w:history="1">
        <w:r>
          <w:rPr>
            <w:rStyle w:val="a3"/>
            <w:rFonts w:ascii="Arial" w:hAnsi="Arial" w:cs="Arial"/>
            <w:color w:val="3C5F87"/>
            <w:sz w:val="23"/>
            <w:szCs w:val="23"/>
            <w:bdr w:val="none" w:sz="0" w:space="0" w:color="auto" w:frame="1"/>
          </w:rPr>
          <w:t>333 ГПК РФ</w:t>
        </w:r>
      </w:hyperlink>
      <w:r>
        <w:rPr>
          <w:rFonts w:ascii="Arial" w:hAnsi="Arial" w:cs="Arial"/>
          <w:color w:val="000000"/>
          <w:sz w:val="23"/>
          <w:szCs w:val="23"/>
          <w:shd w:val="clear" w:color="auto" w:fill="FFFFFF"/>
        </w:rPr>
        <w:t>, снизить размер неустойки и штрафа до разумных пределов. Также просила снизить размер компенсации морального вреда, поскольку заявленный истцами размер не соответствует степени физических и нравственных страданий, снизить расходы на услуги представителя.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материалы дела, суд находит исковые требования подлежащими частичному удовлетворению по следующим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со ст. 4 Федерального Закона от </w:t>
      </w:r>
      <w:proofErr w:type="spellStart"/>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w:t>
      </w:r>
      <w:proofErr w:type="spellEnd"/>
      <w:r>
        <w:rPr>
          <w:rFonts w:ascii="Arial" w:hAnsi="Arial" w:cs="Arial"/>
          <w:color w:val="000000"/>
          <w:sz w:val="23"/>
          <w:szCs w:val="23"/>
          <w:shd w:val="clear" w:color="auto" w:fill="FFFFFF"/>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w:t>
      </w:r>
      <w:proofErr w:type="gramStart"/>
      <w:r>
        <w:rPr>
          <w:rFonts w:ascii="Arial" w:hAnsi="Arial" w:cs="Arial"/>
          <w:color w:val="000000"/>
          <w:sz w:val="23"/>
          <w:szCs w:val="23"/>
          <w:shd w:val="clear" w:color="auto" w:fill="FFFFFF"/>
        </w:rPr>
        <w:t>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Согласно ст. 6, 8 указанного Закона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w:t>
      </w:r>
      <w:r>
        <w:rPr>
          <w:rFonts w:ascii="Arial" w:hAnsi="Arial" w:cs="Arial"/>
          <w:color w:val="000000"/>
          <w:sz w:val="23"/>
          <w:szCs w:val="23"/>
          <w:shd w:val="clear" w:color="auto" w:fill="FFFFFF"/>
        </w:rPr>
        <w:lastRenderedPageBreak/>
        <w:t>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имеющий отдельный подъезд с выходом на территорию общего</w:t>
      </w:r>
      <w:proofErr w:type="gramEnd"/>
      <w:r>
        <w:rPr>
          <w:rFonts w:ascii="Arial" w:hAnsi="Arial" w:cs="Arial"/>
          <w:color w:val="000000"/>
          <w:sz w:val="23"/>
          <w:szCs w:val="23"/>
          <w:shd w:val="clear" w:color="auto" w:fill="FFFFFF"/>
        </w:rPr>
        <w:t xml:space="preserve"> пользования, за исключением случая, установленного частью 3 настоящей статьи.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ГК РФ.</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Передача объекта долевого строительства застройщиком и принятие его участником долевого строительства осуществляется по подписываемым сторонами передаточному акту или иному документу о передаче.</w:t>
      </w:r>
      <w:proofErr w:type="gramEnd"/>
      <w:r>
        <w:rPr>
          <w:rFonts w:ascii="Arial" w:hAnsi="Arial" w:cs="Arial"/>
          <w:color w:val="000000"/>
          <w:sz w:val="23"/>
          <w:szCs w:val="23"/>
          <w:shd w:val="clear" w:color="auto" w:fill="FFFFFF"/>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w:t>
      </w:r>
    </w:p>
    <w:p w:rsidR="006902CB" w:rsidRDefault="006902CB" w:rsidP="006902CB">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В.Н.,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Н.Н. и ООО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Договор № участия в долевом строительстве многоквартирного дома.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1, 2 Договора, Застройщик обязался в предусмотренный Договором срок построить 25-этажный многоквартирный жилой дом с помещениями общественного назначения по строительному адресу: &lt;адрес&gt;, &lt;адрес&gt;, &lt;адрес&gt; и после получения разрешения на ввод в эксплуатацию жилого дома в срок, не позднее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 (п. 2.2) передать Дольщикам однокомнатную квартиру с условным номером 49, расположенную на 11 этаже в секции 1, жилой &lt;адрес&gt;, проектной площадью 53,3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 4.1. Договора долевого участия цена объекта долевого строительства составляет 4 751 322,00 руб. и рассчитывается исходя из стоимости 1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которая составляет 89 143,00 руб., помноженной на площадь объекта долевого строительства.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Истцами обязательства по оплате Квартиры выполнены в полном объеме, что не </w:t>
      </w:r>
      <w:r>
        <w:rPr>
          <w:rFonts w:ascii="Arial" w:hAnsi="Arial" w:cs="Arial"/>
          <w:color w:val="000000"/>
          <w:sz w:val="23"/>
          <w:szCs w:val="23"/>
          <w:shd w:val="clear" w:color="auto" w:fill="FFFFFF"/>
        </w:rPr>
        <w:lastRenderedPageBreak/>
        <w:t>опровергается ответчиком.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Претензия истцов о выплате неустойки оставлена ответчиком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2.3 Договора, 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в срок не позднее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Жилой дом введен в эксплуатацию ДД.ММ.ГГ. Акт приема-передачи подписан ДД.ММ.ГГ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 ГК РФ</w:t>
        </w:r>
      </w:hyperlink>
      <w:r>
        <w:rPr>
          <w:rFonts w:ascii="Arial" w:hAnsi="Arial" w:cs="Arial"/>
          <w:color w:val="000000"/>
          <w:sz w:val="23"/>
          <w:szCs w:val="23"/>
          <w:shd w:val="clear" w:color="auto" w:fill="FFFFFF"/>
        </w:rPr>
        <w:t xml:space="preserve"> обязательства должны исполняться надлежащим образом в </w:t>
      </w:r>
      <w:proofErr w:type="gramStart"/>
      <w:r>
        <w:rPr>
          <w:rFonts w:ascii="Arial" w:hAnsi="Arial" w:cs="Arial"/>
          <w:color w:val="000000"/>
          <w:sz w:val="23"/>
          <w:szCs w:val="23"/>
          <w:shd w:val="clear" w:color="auto" w:fill="FFFFFF"/>
        </w:rPr>
        <w:t>соответствии</w:t>
      </w:r>
      <w:proofErr w:type="gramEnd"/>
      <w:r>
        <w:rPr>
          <w:rFonts w:ascii="Arial" w:hAnsi="Arial" w:cs="Arial"/>
          <w:color w:val="000000"/>
          <w:sz w:val="23"/>
          <w:szCs w:val="23"/>
          <w:shd w:val="clear" w:color="auto" w:fill="FFFFFF"/>
        </w:rPr>
        <w:t xml:space="preserve"> с условиями обязательства и требованиями закона. В соответствии со ст. </w:t>
      </w:r>
      <w:hyperlink r:id="rId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3C5F87"/>
            <w:sz w:val="23"/>
            <w:szCs w:val="23"/>
            <w:bdr w:val="none" w:sz="0" w:space="0" w:color="auto" w:frame="1"/>
          </w:rPr>
          <w:t>310 ГК РФ</w:t>
        </w:r>
      </w:hyperlink>
      <w:r>
        <w:rPr>
          <w:rFonts w:ascii="Arial" w:hAnsi="Arial" w:cs="Arial"/>
          <w:color w:val="000000"/>
          <w:sz w:val="23"/>
          <w:szCs w:val="23"/>
          <w:shd w:val="clear" w:color="auto" w:fill="FFFFFF"/>
        </w:rPr>
        <w:t> односторонний отказ от исполнения обязательства и одностороннее изменение его условий не допускается, за исключением случаев, предусмотренных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ООО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свои обязательства по договору не выполнил: в предусмотренный договором срок не передал истцу объект долевого участия.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Дополнительных соглашений об изменении срока передачи объекта строительства сторонами не заключалось.</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п.2 ст. </w:t>
      </w:r>
      <w:hyperlink r:id="rId8" w:anchor="HRbY4PA1gyWu" w:tgtFrame="_blank" w:tooltip="Федеральный закон от 30.12.2004 N 214-ФЗ &gt; (ред. от 30.04.2021)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6. Срок передачи застройщиком объекта долевого строительства участнику долевого строительства" w:history="1">
        <w:r>
          <w:rPr>
            <w:rStyle w:val="a3"/>
            <w:rFonts w:ascii="Arial" w:hAnsi="Arial" w:cs="Arial"/>
            <w:color w:val="3C5F87"/>
            <w:sz w:val="23"/>
            <w:szCs w:val="23"/>
            <w:bdr w:val="none" w:sz="0" w:space="0" w:color="auto" w:frame="1"/>
          </w:rPr>
          <w:t>6</w:t>
        </w:r>
      </w:hyperlink>
      <w:r>
        <w:rPr>
          <w:rFonts w:ascii="Arial" w:hAnsi="Arial" w:cs="Arial"/>
          <w:color w:val="000000"/>
          <w:sz w:val="23"/>
          <w:szCs w:val="23"/>
          <w:shd w:val="clear" w:color="auto" w:fill="FFFFFF"/>
        </w:rPr>
        <w:t> ФЗ № «Об участии в долевом строительстве»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r>
        <w:rPr>
          <w:rFonts w:ascii="Arial" w:hAnsi="Arial" w:cs="Arial"/>
          <w:color w:val="000000"/>
          <w:sz w:val="23"/>
          <w:szCs w:val="23"/>
          <w:shd w:val="clear" w:color="auto" w:fill="FFFFFF"/>
        </w:rPr>
        <w:t xml:space="preserve"> Если участником долевого строительства является гражданин, неустойка (пени) уплачивается застройщиком в двойном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Неустойка (пеня) представляет собой денежную сумму, установленную договором или законом и выплачиваемую стороной, не исполнившей или ненадлежащим образом исполнившей обязательства по договору (ст. </w:t>
      </w:r>
      <w:hyperlink r:id="rId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3C5F87"/>
            <w:sz w:val="23"/>
            <w:szCs w:val="23"/>
            <w:bdr w:val="none" w:sz="0" w:space="0" w:color="auto" w:frame="1"/>
          </w:rPr>
          <w:t>330 ГК РФ</w:t>
        </w:r>
      </w:hyperlink>
      <w:r>
        <w:rPr>
          <w:rFonts w:ascii="Arial" w:hAnsi="Arial" w:cs="Arial"/>
          <w:color w:val="000000"/>
          <w:sz w:val="23"/>
          <w:szCs w:val="23"/>
          <w:shd w:val="clear" w:color="auto" w:fill="FFFFFF"/>
        </w:rPr>
        <w:t>). При ее истребовании доказывается факт нарушения обязательства.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ч.1 ст. </w:t>
      </w:r>
      <w:hyperlink r:id="rId10"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4. Срок исполнения обязательства" w:history="1">
        <w:r>
          <w:rPr>
            <w:rStyle w:val="a3"/>
            <w:rFonts w:ascii="Arial" w:hAnsi="Arial" w:cs="Arial"/>
            <w:color w:val="3C5F87"/>
            <w:sz w:val="23"/>
            <w:szCs w:val="23"/>
            <w:bdr w:val="none" w:sz="0" w:space="0" w:color="auto" w:frame="1"/>
          </w:rPr>
          <w:t>314 ГК РФ</w:t>
        </w:r>
      </w:hyperlink>
      <w:r>
        <w:rPr>
          <w:rFonts w:ascii="Arial" w:hAnsi="Arial" w:cs="Arial"/>
          <w:color w:val="000000"/>
          <w:sz w:val="23"/>
          <w:szCs w:val="23"/>
          <w:shd w:val="clear" w:color="auto" w:fill="FFFFFF"/>
        </w:rPr>
        <w:t>,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Неустойка (пеня) представляет собой денежную сумму, установленную договором или законом и выплачиваемую стороной, не исполнившей или ненадлежащим образом исполнившей обязательства по договору (ст. </w:t>
      </w:r>
      <w:hyperlink r:id="rId1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3C5F87"/>
            <w:sz w:val="23"/>
            <w:szCs w:val="23"/>
            <w:bdr w:val="none" w:sz="0" w:space="0" w:color="auto" w:frame="1"/>
          </w:rPr>
          <w:t>330 ГК РФ</w:t>
        </w:r>
      </w:hyperlink>
      <w:r>
        <w:rPr>
          <w:rFonts w:ascii="Arial" w:hAnsi="Arial" w:cs="Arial"/>
          <w:color w:val="000000"/>
          <w:sz w:val="23"/>
          <w:szCs w:val="23"/>
          <w:shd w:val="clear" w:color="auto" w:fill="FFFFFF"/>
        </w:rPr>
        <w:t>). При ее истребовании доказывается факт нарушения обязательства.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во внимание, что ответчиком не представлено доказательств передачи истцу объекта долевого строительства в установленный договором срок (не позднее 31.07.2019г.), суд приходит к выводу, о нарушении ООО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срока передачи объекта строительства, в связи с чем, суд находит обоснованными требования истцов о взыскании неустойки за период с </w:t>
      </w:r>
      <w:bookmarkStart w:id="1" w:name="snippet"/>
      <w:r>
        <w:rPr>
          <w:rFonts w:ascii="Arial" w:hAnsi="Arial" w:cs="Arial"/>
          <w:color w:val="3C5F87"/>
          <w:sz w:val="23"/>
          <w:szCs w:val="23"/>
          <w:bdr w:val="none" w:sz="0" w:space="0" w:color="auto" w:frame="1"/>
        </w:rPr>
        <w:t>01</w:t>
      </w:r>
      <w:bookmarkEnd w:id="1"/>
      <w:r>
        <w:rPr>
          <w:rFonts w:ascii="Arial" w:hAnsi="Arial" w:cs="Arial"/>
          <w:color w:val="000000"/>
          <w:sz w:val="23"/>
          <w:szCs w:val="23"/>
          <w:shd w:val="clear" w:color="auto" w:fill="FFFFFF"/>
        </w:rPr>
        <w:t>.08.2019г. по 12.10.2019г.</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Вместе с тем, с учетом обстоятельств</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дела, соразмерности объему и последствиям нарушенного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ходатайства ответчика о снижении размера неустойки, суд полагает возможным взыскать с ООО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истцов неустойку в размере 90 000 руб., по 45 000 руб. в пользу каждого из истцов, с учетом ее снижения в соответствии со ст. </w:t>
      </w:r>
      <w:hyperlink r:id="rId1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В удовлетворении требований, превышающих размер взысканной неустойки, надлежит отказать</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3"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законом или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 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p>
    <w:p w:rsidR="006902CB" w:rsidRDefault="006902CB" w:rsidP="006902CB">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Учитывая </w:t>
      </w:r>
      <w:proofErr w:type="gramStart"/>
      <w:r>
        <w:rPr>
          <w:rFonts w:ascii="Arial" w:hAnsi="Arial" w:cs="Arial"/>
          <w:color w:val="000000"/>
          <w:sz w:val="23"/>
          <w:szCs w:val="23"/>
          <w:shd w:val="clear" w:color="auto" w:fill="FFFFFF"/>
        </w:rPr>
        <w:t>изложенное</w:t>
      </w:r>
      <w:proofErr w:type="gramEnd"/>
      <w:r>
        <w:rPr>
          <w:rFonts w:ascii="Arial" w:hAnsi="Arial" w:cs="Arial"/>
          <w:color w:val="000000"/>
          <w:sz w:val="23"/>
          <w:szCs w:val="23"/>
          <w:shd w:val="clear" w:color="auto" w:fill="FFFFFF"/>
        </w:rPr>
        <w:t>, суд приходит к выводу о взыскании с ответчика в пользу истцов компенсации морального вреда по 2 000 руб. в пользу каждого истца, находя эту сумму разумной и достаточной. В части требований, превышающих взысканную сумму компенсации морального вреда, надлежит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п.6 ст. </w:t>
      </w:r>
      <w:hyperlink r:id="rId14" w:anchor="VkbDcoQcFPmp" w:tgtFrame="_blank" w:tooltip="Закон РФ от 07.02.1992 N 2300-1 &gt; (ред. от 22.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50%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изложенное, размер штрафа, подлежащего взысканию с ответчика в пользу каждого из истцов, составляет 23 500 руб. (45 000+2000) * 50%).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обстоятельств дела, соразмерности объему и последствиям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приходит к выводу о снижении размера штрафа до 10 000 руб. в пользу каждого истца, в соответствии со ст. </w:t>
      </w:r>
      <w:hyperlink r:id="rId1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Во взыскании суммы штрафа, превышающей взысканную сумму, надлежит отказать.</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 </w:t>
      </w:r>
      <w:hyperlink r:id="rId16"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 присуждает с другой стороны все понесенные по делу судебные расходы, пропорционально размеру удовлетворенных исковых требований, в связи с чем, с ответчика ООО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истцов подлежат взысканию почтовые расходы в размере 68,40 руб. - по 34,20 руб. в пользу каждого из истцов.</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7"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 ГПК РФ</w:t>
        </w:r>
      </w:hyperlink>
      <w:r>
        <w:rPr>
          <w:rFonts w:ascii="Arial" w:hAnsi="Arial" w:cs="Arial"/>
          <w:color w:val="000000"/>
          <w:sz w:val="23"/>
          <w:szCs w:val="23"/>
          <w:shd w:val="clear" w:color="auto" w:fill="FFFFFF"/>
        </w:rPr>
        <w:t> с ответчика в пользу истцов подлежат взысканию расходы по оплате услуг представителя в размере 10 000 руб. - по 5 000 руб. в пользу каждого истца. Суд находит данную сумму разумной и достаточной.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 ГПК РФ</w:t>
        </w:r>
      </w:hyperlink>
      <w:r>
        <w:rPr>
          <w:rFonts w:ascii="Arial" w:hAnsi="Arial" w:cs="Arial"/>
          <w:color w:val="000000"/>
          <w:sz w:val="23"/>
          <w:szCs w:val="23"/>
          <w:shd w:val="clear" w:color="auto" w:fill="FFFFFF"/>
        </w:rPr>
        <w:t>, с ООО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бюджета муниципального образования городской округ Люберцы Московской области подлежит взысканию госпошлина в размере 3 200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 руководствуясь, ст. </w:t>
      </w:r>
      <w:hyperlink r:id="rId19"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 - </w:t>
      </w:r>
      <w:hyperlink r:id="rId20"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lastRenderedPageBreak/>
        <w:br/>
      </w:r>
    </w:p>
    <w:p w:rsidR="006902CB" w:rsidRDefault="006902CB" w:rsidP="006902CB">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 :</w:t>
      </w:r>
    </w:p>
    <w:p w:rsidR="00873110" w:rsidRPr="007C4FB7" w:rsidRDefault="006902CB" w:rsidP="006902CB">
      <w:r>
        <w:rPr>
          <w:rFonts w:ascii="Arial" w:hAnsi="Arial" w:cs="Arial"/>
          <w:color w:val="000000"/>
          <w:sz w:val="23"/>
          <w:szCs w:val="23"/>
          <w:shd w:val="clear" w:color="auto" w:fill="FFFFFF"/>
        </w:rPr>
        <w:t xml:space="preserve">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В. Н.,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Н. </w:t>
      </w:r>
      <w:proofErr w:type="spellStart"/>
      <w:r>
        <w:rPr>
          <w:rFonts w:ascii="Arial" w:hAnsi="Arial" w:cs="Arial"/>
          <w:color w:val="000000"/>
          <w:sz w:val="23"/>
          <w:szCs w:val="23"/>
          <w:shd w:val="clear" w:color="auto" w:fill="FFFFFF"/>
        </w:rPr>
        <w:t>Н.ча</w:t>
      </w:r>
      <w:proofErr w:type="spellEnd"/>
      <w:r>
        <w:rPr>
          <w:rFonts w:ascii="Arial" w:hAnsi="Arial" w:cs="Arial"/>
          <w:color w:val="000000"/>
          <w:sz w:val="23"/>
          <w:szCs w:val="23"/>
          <w:shd w:val="clear" w:color="auto" w:fill="FFFFFF"/>
        </w:rPr>
        <w:t xml:space="preserve"> -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СЗ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В. Н., неустойку за нарушение срока передачи объекта долевого строительства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 в размере 45 000 руб., компенсацию морального вреда в размере 2 000 руб., штраф в размере 10 000 руб., расходы по оплате услуг представителя в размере 5 000 руб., почтовые расходы в размере 34,20 руб. а всего – </w:t>
      </w:r>
      <w:proofErr w:type="gramStart"/>
      <w:r>
        <w:rPr>
          <w:rFonts w:ascii="Arial" w:hAnsi="Arial" w:cs="Arial"/>
          <w:color w:val="000000"/>
          <w:sz w:val="23"/>
          <w:szCs w:val="23"/>
          <w:shd w:val="clear" w:color="auto" w:fill="FFFFFF"/>
        </w:rPr>
        <w:t>62 034,20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СЗ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Н. </w:t>
      </w:r>
      <w:proofErr w:type="spellStart"/>
      <w:r>
        <w:rPr>
          <w:rFonts w:ascii="Arial" w:hAnsi="Arial" w:cs="Arial"/>
          <w:color w:val="000000"/>
          <w:sz w:val="23"/>
          <w:szCs w:val="23"/>
          <w:shd w:val="clear" w:color="auto" w:fill="FFFFFF"/>
        </w:rPr>
        <w:t>Н.ча</w:t>
      </w:r>
      <w:proofErr w:type="spellEnd"/>
      <w:r>
        <w:rPr>
          <w:rFonts w:ascii="Arial" w:hAnsi="Arial" w:cs="Arial"/>
          <w:color w:val="000000"/>
          <w:sz w:val="23"/>
          <w:szCs w:val="23"/>
          <w:shd w:val="clear" w:color="auto" w:fill="FFFFFF"/>
        </w:rPr>
        <w:t xml:space="preserve"> неустойку за нарушение срока передачи объекта долевого строительства за период с 01.08.2019г. по 12.10.2019г. в размере 45 000 руб., компенсацию морального вреда в размере 2 000 руб., штраф в размере 10 000 руб., расходы по оплате услуг представителя в размере 5000 руб., почтовые расходы в</w:t>
      </w:r>
      <w:proofErr w:type="gramEnd"/>
      <w:r>
        <w:rPr>
          <w:rFonts w:ascii="Arial" w:hAnsi="Arial" w:cs="Arial"/>
          <w:color w:val="000000"/>
          <w:sz w:val="23"/>
          <w:szCs w:val="23"/>
          <w:shd w:val="clear" w:color="auto" w:fill="FFFFFF"/>
        </w:rPr>
        <w:t xml:space="preserve"> размере 34,20 руб. а всего – 62 034,20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части требований, превышающих взысканные суммы неустойки, компенсации морального вреда, штрафа и судебных расходов –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Специализированный застройщик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бюджета муниципального образования городской округ Люберцы Московской области госпошлину в размере 3 200 руб.</w:t>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Московский областной суд через Люберецкий городской суд в течение месяца со дня принятия решения суда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И.Э. </w:t>
      </w:r>
      <w:proofErr w:type="spellStart"/>
      <w:r>
        <w:rPr>
          <w:rFonts w:ascii="Arial" w:hAnsi="Arial" w:cs="Arial"/>
          <w:color w:val="000000"/>
          <w:sz w:val="23"/>
          <w:szCs w:val="23"/>
          <w:shd w:val="clear" w:color="auto" w:fill="FFFFFF"/>
        </w:rPr>
        <w:t>Лобойко</w:t>
      </w:r>
      <w:proofErr w:type="spellEnd"/>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6902CB"/>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420564546">
      <w:bodyDiv w:val="1"/>
      <w:marLeft w:val="0"/>
      <w:marRight w:val="0"/>
      <w:marTop w:val="0"/>
      <w:marBottom w:val="0"/>
      <w:divBdr>
        <w:top w:val="none" w:sz="0" w:space="0" w:color="auto"/>
        <w:left w:val="none" w:sz="0" w:space="0" w:color="auto"/>
        <w:bottom w:val="none" w:sz="0" w:space="0" w:color="auto"/>
        <w:right w:val="none" w:sz="0" w:space="0" w:color="auto"/>
      </w:divBdr>
      <w:divsChild>
        <w:div w:id="800804448">
          <w:marLeft w:val="0"/>
          <w:marRight w:val="0"/>
          <w:marTop w:val="300"/>
          <w:marBottom w:val="300"/>
          <w:divBdr>
            <w:top w:val="none" w:sz="0" w:space="0" w:color="auto"/>
            <w:left w:val="none" w:sz="0" w:space="0" w:color="auto"/>
            <w:bottom w:val="none" w:sz="0" w:space="0" w:color="auto"/>
            <w:right w:val="none" w:sz="0" w:space="0" w:color="auto"/>
          </w:divBdr>
          <w:divsChild>
            <w:div w:id="87851730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071658343">
          <w:marLeft w:val="0"/>
          <w:marRight w:val="0"/>
          <w:marTop w:val="300"/>
          <w:marBottom w:val="300"/>
          <w:divBdr>
            <w:top w:val="none" w:sz="0" w:space="0" w:color="auto"/>
            <w:left w:val="none" w:sz="0" w:space="0" w:color="auto"/>
            <w:bottom w:val="none" w:sz="0" w:space="0" w:color="auto"/>
            <w:right w:val="none" w:sz="0" w:space="0" w:color="auto"/>
          </w:divBdr>
          <w:divsChild>
            <w:div w:id="15593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30122004-n-214-fz-ob/"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gpk-rf/razdel-i/glava-7/statia-1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dact.ru/law/gk-rf-chast1/razdel-iii/podrazdel-1_1/glava-22/statia-310/" TargetMode="External"/><Relationship Id="rId12" Type="http://schemas.openxmlformats.org/officeDocument/2006/relationships/hyperlink" Target="https://sudact.ru/law/gk-rf-chast1/razdel-iii/podrazdel-1_1/glava-23/ss-2_3/statia-333/" TargetMode="External"/><Relationship Id="rId17" Type="http://schemas.openxmlformats.org/officeDocument/2006/relationships/hyperlink" Target="https://sudact.ru/law/gpk-rf/razdel-i/glava-7/statia-100/" TargetMode="External"/><Relationship Id="rId2" Type="http://schemas.microsoft.com/office/2007/relationships/stylesWithEffects" Target="stylesWithEffects.xml"/><Relationship Id="rId16" Type="http://schemas.openxmlformats.org/officeDocument/2006/relationships/hyperlink" Target="https://sudact.ru/law/gpk-rf/razdel-i/glava-7/statia-98/" TargetMode="External"/><Relationship Id="rId20" Type="http://schemas.openxmlformats.org/officeDocument/2006/relationships/hyperlink" Target="https://sudact.ru/law/gpk-rf/razdel-ii/podrazdel-ii/glava-16/statia-198/" TargetMode="External"/><Relationship Id="rId1" Type="http://schemas.openxmlformats.org/officeDocument/2006/relationships/styles" Target="styles.xml"/><Relationship Id="rId6" Type="http://schemas.openxmlformats.org/officeDocument/2006/relationships/hyperlink" Target="https://sudact.ru/law/gk-rf-chast1/razdel-iii/podrazdel-1_1/glava-22/statia-309/" TargetMode="External"/><Relationship Id="rId11" Type="http://schemas.openxmlformats.org/officeDocument/2006/relationships/hyperlink" Target="https://sudact.ru/law/gk-rf-chast1/razdel-iii/podrazdel-1_1/glava-23/ss-2_3/statia-330/" TargetMode="External"/><Relationship Id="rId5" Type="http://schemas.openxmlformats.org/officeDocument/2006/relationships/hyperlink" Target="https://sudact.ru/law/gpk-rf/razdel-iii/glava-39_1/statia-333/" TargetMode="External"/><Relationship Id="rId15" Type="http://schemas.openxmlformats.org/officeDocument/2006/relationships/hyperlink" Target="https://sudact.ru/law/gk-rf-chast1/razdel-iii/podrazdel-1_1/glava-23/ss-2_3/statia-333/" TargetMode="External"/><Relationship Id="rId10" Type="http://schemas.openxmlformats.org/officeDocument/2006/relationships/hyperlink" Target="https://sudact.ru/law/gk-rf-chast1/razdel-iii/podrazdel-1_1/glava-22/statia-314/" TargetMode="External"/><Relationship Id="rId19"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gk-rf-chast1/razdel-iii/podrazdel-1_1/glava-23/ss-2_3/statia-330/" TargetMode="External"/><Relationship Id="rId14" Type="http://schemas.openxmlformats.org/officeDocument/2006/relationships/hyperlink" Target="https://sudact.ru/law/zakon-rf-ot-07021992-n-2300-1-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2021-06-17T07:10:00Z</dcterms:created>
  <dcterms:modified xsi:type="dcterms:W3CDTF">2021-06-17T07:10:00Z</dcterms:modified>
</cp:coreProperties>
</file>